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hAnsi="宋体" w:eastAsia="宋体" w:cs="宋体"/>
                <w:b/>
                <w:bCs/>
                <w:color w:val="4E4E4E"/>
                <w:kern w:val="0"/>
                <w:szCs w:val="21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color w:val="4E4E4E"/>
                <w:kern w:val="0"/>
                <w:szCs w:val="21"/>
              </w:rPr>
              <w:t>党费及党员活动费的使用相关说明</w:t>
            </w:r>
            <w:bookmarkEnd w:id="0"/>
          </w:p>
          <w:tbl>
            <w:tblPr>
              <w:tblStyle w:val="2"/>
              <w:tblW w:w="5000" w:type="pct"/>
              <w:jc w:val="center"/>
              <w:tblCellSpacing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0" w:hRule="atLeast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4E4E4E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30" w:lineRule="atLeast"/>
        <w:jc w:val="left"/>
        <w:rPr>
          <w:rFonts w:ascii="宋体" w:hAnsi="宋体" w:eastAsia="宋体" w:cs="宋体"/>
          <w:vanish/>
          <w:color w:val="4E4E4E"/>
          <w:kern w:val="0"/>
          <w:sz w:val="18"/>
          <w:szCs w:val="18"/>
        </w:rPr>
      </w:pPr>
    </w:p>
    <w:tbl>
      <w:tblPr>
        <w:tblStyle w:val="2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0" w:type="auto"/>
            <w:shd w:val="clear" w:color="auto" w:fill="E8E8E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E4E4E"/>
                <w:kern w:val="0"/>
                <w:sz w:val="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E4E4E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  <w:tblCellSpacing w:w="0" w:type="dxa"/>
        </w:trPr>
        <w:tc>
          <w:tcPr>
            <w:tcW w:w="0" w:type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E4E4E"/>
                <w:kern w:val="0"/>
                <w:sz w:val="27"/>
                <w:szCs w:val="27"/>
              </w:rPr>
              <w:t>一、党费的使用</w:t>
            </w:r>
            <w:r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27"/>
                <w:szCs w:val="27"/>
              </w:rPr>
              <w:t>第十七条 使用党费应当坚持统筹安排、量入为出、收支平衡、略有结余的原则。</w:t>
            </w:r>
            <w:r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27"/>
                <w:szCs w:val="27"/>
              </w:rPr>
              <w:t>第十八条 使用党费要向农村、街道社区和其他有困难的基层党组织倾斜。</w:t>
            </w:r>
            <w:r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27"/>
                <w:szCs w:val="27"/>
              </w:rPr>
              <w:t>第十九条 党费必须用于党的活动，主要作为党员教育经费的补充，其具体使用范围包括：（1）培训党员；（2）订阅或购买用于开展党员教育的报刊、资料、音像制品和设备；（3）表彰先进基层党组织、优秀共产党员和优秀党务工作者；（4）补助生活困难的党员；（5）补助遭受严重自然灾害的党员和修缮因灾受损的基层党员教育设施。</w:t>
            </w:r>
            <w:r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27"/>
                <w:szCs w:val="27"/>
              </w:rPr>
              <w:t>第二十条 使用和下拨党费，必须集体讨论决定，不得个人或者少数人说了算。</w:t>
            </w:r>
            <w:r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27"/>
                <w:szCs w:val="27"/>
              </w:rPr>
              <w:t>第二十一条 请求下拨党费的请示，应当向上一级党组织提出，不得越级申请。上级党组织下拨的党费，必须专款专用，不得挪作他用。</w:t>
            </w:r>
            <w:r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703"/>
              <w:jc w:val="left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E4E4E"/>
                <w:kern w:val="0"/>
                <w:sz w:val="27"/>
                <w:szCs w:val="27"/>
              </w:rPr>
              <w:t>来源：</w:t>
            </w:r>
            <w:r>
              <w:rPr>
                <w:rFonts w:ascii="宋体" w:hAnsi="宋体" w:eastAsia="宋体" w:cs="宋体"/>
                <w:color w:val="4E4E4E"/>
                <w:kern w:val="0"/>
                <w:sz w:val="27"/>
                <w:szCs w:val="27"/>
              </w:rPr>
              <w:t>中共中央组织部印发 《关于中国共产党党费收缴、使用和管理的规定》的通知 2008年2月4日●中组发【2008】3号</w:t>
            </w:r>
            <w:r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E4E4E"/>
                <w:kern w:val="0"/>
                <w:sz w:val="27"/>
                <w:szCs w:val="27"/>
              </w:rPr>
              <w:t>二、正确把握党费的使用范围</w:t>
            </w:r>
            <w:r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27"/>
                <w:szCs w:val="27"/>
              </w:rPr>
              <w:t>党费必须用于党的活动，主要作为党员教育经费的补充，其具体使用范围包括：</w:t>
            </w:r>
            <w:r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27"/>
                <w:szCs w:val="27"/>
              </w:rPr>
              <w:t>（1）培训党员。主要用于对广大共产党员进行政治理论、实用技术等方面的培训，以及开展主题实践教育活动所发生的费用，在实际工作中，应着眼于使一个单位、一级党组织范围内的大多数党员或某一类别的党员普遍受益。</w:t>
            </w:r>
            <w:r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27"/>
                <w:szCs w:val="27"/>
              </w:rPr>
              <w:t>（2）订阅或购买用于开展党员教育的报刊、资料、音像制品和设备。必须是直接用于订阅和购买以党员教育为主要目的的报刊、资料、音像制品和设备，对于冒用党员教育工作的开支不能使用党费。</w:t>
            </w:r>
            <w:r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27"/>
                <w:szCs w:val="27"/>
              </w:rPr>
              <w:t>（3）表彰先进基层党组织、优秀共产党员和优秀党务工作者。包括购买或制作奖状、荣誉证书、奖牌、奖章、奖品的费用，表彰大会会议资料的印刷费用、会议室和交通工具的租赁费用等，也包括必要的现金奖励费用。表彰应以精神鼓励为主，不提倡过高的物质奖励。</w:t>
            </w:r>
            <w:r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27"/>
                <w:szCs w:val="27"/>
              </w:rPr>
              <w:t>（4）补助生活困难的党员。包括用于对老党员的定期生活补贴、对生活困难党员的一次性生活补助，以及对老党员、生活困难党员发放慰问物品的费用。</w:t>
            </w:r>
            <w:r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27"/>
                <w:szCs w:val="27"/>
              </w:rPr>
              <w:t>（5）补助遭受严重自然灾害的党员和修缮因灾受损的基层党员教育设施。包括用于直接发放慰问金、救灾物质给受灾党员，修缮基层党组织因灾受损的活动场所、电教设备等教育设施的费用。</w:t>
            </w:r>
            <w:r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27"/>
                <w:szCs w:val="27"/>
              </w:rPr>
              <w:t>使用党费必须符合以上五项规定，不能随意扩大党费使用范围，不符合规定的一律不得开支。需要指出的是，党费仅仅是党员教育经费的补充，完全靠党费来开展党员教育工作是远远不够的，因此，即使是符合使用范围的开支项目，也不能完全依赖于党费开支。</w:t>
            </w:r>
            <w:r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703"/>
              <w:jc w:val="left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E4E4E"/>
                <w:kern w:val="0"/>
                <w:sz w:val="27"/>
                <w:szCs w:val="27"/>
              </w:rPr>
              <w:t>来源：</w:t>
            </w:r>
            <w:r>
              <w:rPr>
                <w:rFonts w:ascii="宋体" w:hAnsi="宋体" w:eastAsia="宋体" w:cs="宋体"/>
                <w:color w:val="4E4E4E"/>
                <w:kern w:val="0"/>
                <w:sz w:val="27"/>
                <w:szCs w:val="27"/>
              </w:rPr>
              <w:t>《党费工作手册》，党建读物出版社2016年7月第6次印刷。第57-59页。</w:t>
            </w:r>
            <w:r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E4E4E"/>
                <w:kern w:val="0"/>
                <w:sz w:val="27"/>
                <w:szCs w:val="27"/>
              </w:rPr>
              <w:t>三、正确把握党员活动费的使用范围</w:t>
            </w:r>
            <w:r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27"/>
                <w:szCs w:val="27"/>
              </w:rPr>
              <w:t>党员活动费的使用范围参照党费的使用范围，同时应符合学校财务、资产等相关管理规定。</w:t>
            </w:r>
            <w:r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560"/>
              <w:jc w:val="right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27"/>
                <w:szCs w:val="27"/>
              </w:rPr>
              <w:t xml:space="preserve">上海理工大学党委组织部 </w:t>
            </w:r>
          </w:p>
          <w:p>
            <w:pPr>
              <w:widowControl/>
              <w:spacing w:before="100" w:beforeAutospacing="1" w:after="100" w:afterAutospacing="1"/>
              <w:ind w:firstLine="560"/>
              <w:jc w:val="right"/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E4E4E"/>
                <w:kern w:val="0"/>
                <w:sz w:val="27"/>
                <w:szCs w:val="27"/>
              </w:rPr>
              <w:t>2016年12月12日</w:t>
            </w:r>
            <w:r>
              <w:rPr>
                <w:rFonts w:ascii="宋体" w:hAnsi="宋体" w:eastAsia="宋体" w:cs="宋体"/>
                <w:color w:val="4E4E4E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51"/>
    <w:rsid w:val="004044A7"/>
    <w:rsid w:val="00774BBF"/>
    <w:rsid w:val="00C70C51"/>
    <w:rsid w:val="73EB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1020</Characters>
  <Lines>8</Lines>
  <Paragraphs>2</Paragraphs>
  <TotalTime>3</TotalTime>
  <ScaleCrop>false</ScaleCrop>
  <LinksUpToDate>false</LinksUpToDate>
  <CharactersWithSpaces>1196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2017-04-21T01:33:00Z</dcterms:created>
  <dc:creator>lenovo</dc:creator>
  <cp:lastModifiedBy>luckylon</cp:lastModifiedBy>
  <dcterms:modified xsi:type="dcterms:W3CDTF">2021-10-20T06:47:20Z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367746DCEF6F42A1BA3D1331E4D8AFDB</vt:lpwstr>
  </property>
</Properties>
</file>